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6F84" w14:textId="7DDB3845" w:rsidR="00DA6EF3" w:rsidRPr="00D022C9" w:rsidRDefault="00DA6EF3" w:rsidP="00DA6EF3">
      <w:pPr>
        <w:jc w:val="center"/>
        <w:rPr>
          <w:b/>
          <w:bCs/>
          <w:sz w:val="32"/>
          <w:szCs w:val="32"/>
        </w:rPr>
      </w:pPr>
      <w:r w:rsidRPr="00D022C9">
        <w:rPr>
          <w:b/>
          <w:bCs/>
          <w:sz w:val="32"/>
          <w:szCs w:val="32"/>
        </w:rPr>
        <w:t>Emergency Campaign to Save Central Israeli Forests – Interim Summary</w:t>
      </w:r>
    </w:p>
    <w:p w14:paraId="5ABC1E32" w14:textId="196CBDDC" w:rsidR="00DA6EF3" w:rsidRPr="00D022C9" w:rsidRDefault="00DA6EF3" w:rsidP="00DA6EF3">
      <w:pPr>
        <w:jc w:val="center"/>
        <w:rPr>
          <w:sz w:val="28"/>
          <w:szCs w:val="28"/>
        </w:rPr>
      </w:pPr>
      <w:r w:rsidRPr="00D022C9">
        <w:rPr>
          <w:sz w:val="28"/>
          <w:szCs w:val="28"/>
        </w:rPr>
        <w:t>Project 22437 – Eshtaol Forest and Park Ayalon-Canada</w:t>
      </w:r>
    </w:p>
    <w:p w14:paraId="778EB16B" w14:textId="06F018B0" w:rsidR="00961235" w:rsidRPr="00D022C9" w:rsidRDefault="007A4A1E" w:rsidP="00D27C0E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DA6EF3" w:rsidRPr="00D022C9">
        <w:rPr>
          <w:sz w:val="28"/>
          <w:szCs w:val="28"/>
        </w:rPr>
        <w:t xml:space="preserve"> 2025</w:t>
      </w:r>
    </w:p>
    <w:p w14:paraId="6D6FAC3A" w14:textId="77777777" w:rsidR="00D022C9" w:rsidRDefault="00D022C9" w:rsidP="00DA6EF3">
      <w:pPr>
        <w:rPr>
          <w:b/>
          <w:bCs/>
          <w:u w:val="single"/>
        </w:rPr>
      </w:pPr>
    </w:p>
    <w:p w14:paraId="702FC544" w14:textId="41B5905A" w:rsidR="00DA6EF3" w:rsidRPr="00DA0A78" w:rsidRDefault="00DA6EF3" w:rsidP="00DA6EF3">
      <w:pPr>
        <w:rPr>
          <w:b/>
          <w:bCs/>
          <w:u w:val="single"/>
        </w:rPr>
      </w:pPr>
      <w:r w:rsidRPr="00DA0A78">
        <w:rPr>
          <w:b/>
          <w:bCs/>
          <w:u w:val="single"/>
        </w:rPr>
        <w:t>In May 2025, some 2,000 hectares (or 5,000 acres) of forest and open space in central Israel were burnt, including some 1,500 ha. (3700 acres) of KKL-JNF forest land:</w:t>
      </w:r>
    </w:p>
    <w:p w14:paraId="6EBA89EA" w14:textId="3D9554D5" w:rsidR="00DA6EF3" w:rsidRDefault="00DA6EF3" w:rsidP="00DA6EF3">
      <w:r w:rsidRPr="00DA0A78">
        <w:rPr>
          <w:b/>
          <w:bCs/>
        </w:rPr>
        <w:t>In Eshtaol Forest</w:t>
      </w:r>
      <w:r>
        <w:t xml:space="preserve">, </w:t>
      </w:r>
      <w:proofErr w:type="gramStart"/>
      <w:r>
        <w:t>about</w:t>
      </w:r>
      <w:proofErr w:type="gramEnd"/>
      <w:r>
        <w:t xml:space="preserve"> 760 </w:t>
      </w:r>
      <w:r w:rsidR="00961235">
        <w:t>ha.</w:t>
      </w:r>
      <w:r>
        <w:t xml:space="preserve"> were burned</w:t>
      </w:r>
      <w:r w:rsidR="00961235">
        <w:t>, of these</w:t>
      </w:r>
      <w:r>
        <w:t>:</w:t>
      </w:r>
    </w:p>
    <w:p w14:paraId="78A77322" w14:textId="7066C38D" w:rsidR="00DA6EF3" w:rsidRDefault="00961235" w:rsidP="00DA6EF3">
      <w:r>
        <w:t>345 ha. were burned on 23.5.25</w:t>
      </w:r>
    </w:p>
    <w:p w14:paraId="1A3D3116" w14:textId="434F6469" w:rsidR="00961235" w:rsidRDefault="00961235" w:rsidP="00DA6EF3">
      <w:r>
        <w:t>412 ha. were burned on 30.5.25</w:t>
      </w:r>
    </w:p>
    <w:p w14:paraId="69349D3B" w14:textId="26C9391F" w:rsidR="00961235" w:rsidRDefault="00961235" w:rsidP="00D27C0E">
      <w:r w:rsidRPr="00DA0A78">
        <w:rPr>
          <w:b/>
          <w:bCs/>
        </w:rPr>
        <w:t>In Ayalon-Canada Park</w:t>
      </w:r>
      <w:r>
        <w:t xml:space="preserve">, 610 ha. were burned, all on 30.5.25. </w:t>
      </w:r>
    </w:p>
    <w:p w14:paraId="436213F8" w14:textId="35BB751B" w:rsidR="00961235" w:rsidRPr="00DA0A78" w:rsidRDefault="00961235" w:rsidP="00DA6EF3">
      <w:pPr>
        <w:rPr>
          <w:b/>
          <w:bCs/>
          <w:u w:val="single"/>
        </w:rPr>
      </w:pPr>
      <w:r w:rsidRPr="00DA0A78">
        <w:rPr>
          <w:b/>
          <w:bCs/>
          <w:u w:val="single"/>
        </w:rPr>
        <w:t>The rehabilitation plan includes:</w:t>
      </w:r>
    </w:p>
    <w:p w14:paraId="5263C526" w14:textId="3E680F68" w:rsidR="00961235" w:rsidRDefault="00961235" w:rsidP="00961235">
      <w:pPr>
        <w:pStyle w:val="a9"/>
        <w:numPr>
          <w:ilvl w:val="0"/>
          <w:numId w:val="1"/>
        </w:numPr>
      </w:pPr>
      <w:r>
        <w:t>Treatment and removal of burnt trees</w:t>
      </w:r>
    </w:p>
    <w:p w14:paraId="32B9686A" w14:textId="5921247A" w:rsidR="00961235" w:rsidRDefault="00961235" w:rsidP="00961235">
      <w:pPr>
        <w:pStyle w:val="a9"/>
        <w:numPr>
          <w:ilvl w:val="0"/>
          <w:numId w:val="1"/>
        </w:numPr>
      </w:pPr>
      <w:r>
        <w:t>Removal of dangerous hazards</w:t>
      </w:r>
    </w:p>
    <w:p w14:paraId="664C0EEE" w14:textId="7F448B5C" w:rsidR="00961235" w:rsidRDefault="00961235" w:rsidP="00961235">
      <w:pPr>
        <w:pStyle w:val="a9"/>
        <w:numPr>
          <w:ilvl w:val="0"/>
          <w:numId w:val="1"/>
        </w:numPr>
      </w:pPr>
      <w:r>
        <w:t>Pruning for safety</w:t>
      </w:r>
    </w:p>
    <w:p w14:paraId="2A09352B" w14:textId="3D1593D6" w:rsidR="00961235" w:rsidRDefault="00961235" w:rsidP="00961235">
      <w:pPr>
        <w:pStyle w:val="a9"/>
        <w:numPr>
          <w:ilvl w:val="0"/>
          <w:numId w:val="1"/>
        </w:numPr>
      </w:pPr>
      <w:r>
        <w:t>Regulating flow channels and preventing erosion</w:t>
      </w:r>
    </w:p>
    <w:p w14:paraId="33ABC860" w14:textId="7195DE86" w:rsidR="00961235" w:rsidRDefault="00961235" w:rsidP="00961235">
      <w:pPr>
        <w:pStyle w:val="a9"/>
        <w:numPr>
          <w:ilvl w:val="0"/>
          <w:numId w:val="1"/>
        </w:numPr>
      </w:pPr>
      <w:r>
        <w:t>Repairing access routes</w:t>
      </w:r>
    </w:p>
    <w:p w14:paraId="1B247558" w14:textId="77777777" w:rsidR="00F46A45" w:rsidRDefault="00F46A45" w:rsidP="00961235">
      <w:pPr>
        <w:pStyle w:val="a9"/>
        <w:numPr>
          <w:ilvl w:val="0"/>
          <w:numId w:val="1"/>
        </w:numPr>
      </w:pPr>
      <w:r>
        <w:t>High-density plantings in damaged recreation and leisure areas</w:t>
      </w:r>
    </w:p>
    <w:p w14:paraId="673FBD51" w14:textId="77777777" w:rsidR="00F46A45" w:rsidRDefault="00F46A45" w:rsidP="00961235">
      <w:pPr>
        <w:pStyle w:val="a9"/>
        <w:numPr>
          <w:ilvl w:val="0"/>
          <w:numId w:val="1"/>
        </w:numPr>
      </w:pPr>
      <w:r>
        <w:t>Treatment of regenerating pine seeds</w:t>
      </w:r>
    </w:p>
    <w:p w14:paraId="0F49C8FE" w14:textId="407F78C6" w:rsidR="00F46A45" w:rsidRDefault="00F46A45" w:rsidP="00961235">
      <w:pPr>
        <w:pStyle w:val="a9"/>
        <w:numPr>
          <w:ilvl w:val="0"/>
          <w:numId w:val="1"/>
        </w:numPr>
      </w:pPr>
      <w:r>
        <w:t>Planning fire lines</w:t>
      </w:r>
    </w:p>
    <w:p w14:paraId="058C9465" w14:textId="77777777" w:rsidR="00F46A45" w:rsidRDefault="00F46A45" w:rsidP="00961235">
      <w:pPr>
        <w:pStyle w:val="a9"/>
        <w:numPr>
          <w:ilvl w:val="0"/>
          <w:numId w:val="1"/>
        </w:numPr>
      </w:pPr>
      <w:r>
        <w:t>Establishing firebreaks</w:t>
      </w:r>
    </w:p>
    <w:p w14:paraId="6C03DF55" w14:textId="77777777" w:rsidR="00F46A45" w:rsidRDefault="00F46A45" w:rsidP="00961235">
      <w:pPr>
        <w:pStyle w:val="a9"/>
        <w:numPr>
          <w:ilvl w:val="0"/>
          <w:numId w:val="1"/>
        </w:numPr>
      </w:pPr>
      <w:r>
        <w:t>Perennial care of invasive species</w:t>
      </w:r>
    </w:p>
    <w:p w14:paraId="6ED61BF0" w14:textId="77777777" w:rsidR="00F46A45" w:rsidRDefault="00F46A45" w:rsidP="00961235">
      <w:pPr>
        <w:pStyle w:val="a9"/>
        <w:numPr>
          <w:ilvl w:val="0"/>
          <w:numId w:val="1"/>
        </w:numPr>
      </w:pPr>
      <w:r>
        <w:t>Wildlife and vegetation surveys</w:t>
      </w:r>
    </w:p>
    <w:p w14:paraId="2CA4E1A4" w14:textId="10A12604" w:rsidR="00B3612D" w:rsidRDefault="00F46A45" w:rsidP="00D27C0E">
      <w:r>
        <w:t xml:space="preserve">Priorities and implementation were determined by a steering </w:t>
      </w:r>
      <w:r w:rsidR="00B3612D">
        <w:t xml:space="preserve">team of professionals from relevant fields. The rehabilitation process is expected to continue for 10-15 years, in gradual stages, based on surveys and insights gathered along the way, in accordance with the policy paper </w:t>
      </w:r>
      <w:r w:rsidR="00B3612D" w:rsidRPr="00B3612D">
        <w:rPr>
          <w:i/>
          <w:iCs/>
        </w:rPr>
        <w:t xml:space="preserve">Rehabilitation after Extreme Events </w:t>
      </w:r>
      <w:r w:rsidR="00B3612D" w:rsidRPr="00B3612D">
        <w:t>(2021)</w:t>
      </w:r>
      <w:r w:rsidR="00B3612D">
        <w:t xml:space="preserve"> of the KKL-JNF Forestry Department.</w:t>
      </w:r>
    </w:p>
    <w:p w14:paraId="01CE0DD0" w14:textId="77777777" w:rsidR="00B3612D" w:rsidRPr="00DA0A78" w:rsidRDefault="00B3612D" w:rsidP="00B3612D">
      <w:pPr>
        <w:rPr>
          <w:b/>
          <w:bCs/>
          <w:u w:val="single"/>
        </w:rPr>
      </w:pPr>
      <w:r w:rsidRPr="00DA0A78">
        <w:rPr>
          <w:b/>
          <w:bCs/>
          <w:u w:val="single"/>
        </w:rPr>
        <w:t>Stages of Rehabilitation (Forestry Department, KKL-JNF)</w:t>
      </w:r>
    </w:p>
    <w:p w14:paraId="55155DEA" w14:textId="71087C12" w:rsidR="00961235" w:rsidRPr="00DA0A78" w:rsidRDefault="00B3612D" w:rsidP="00B3612D">
      <w:pPr>
        <w:rPr>
          <w:b/>
          <w:bCs/>
        </w:rPr>
      </w:pPr>
      <w:r w:rsidRPr="00DA0A78">
        <w:rPr>
          <w:b/>
          <w:bCs/>
        </w:rPr>
        <w:lastRenderedPageBreak/>
        <w:t xml:space="preserve">Stage 1 – immediate (within a year after the event) </w:t>
      </w:r>
    </w:p>
    <w:p w14:paraId="48D7EF4A" w14:textId="5B048FFD" w:rsidR="00B3612D" w:rsidRDefault="00B3612D" w:rsidP="00B3612D">
      <w:pPr>
        <w:pStyle w:val="a9"/>
        <w:numPr>
          <w:ilvl w:val="0"/>
          <w:numId w:val="2"/>
        </w:numPr>
      </w:pPr>
      <w:r>
        <w:t>Mapping the burn area and the extent of the damage</w:t>
      </w:r>
    </w:p>
    <w:p w14:paraId="4F4443EC" w14:textId="7E67ABD6" w:rsidR="00716043" w:rsidRDefault="00716043" w:rsidP="00B3612D">
      <w:pPr>
        <w:pStyle w:val="a9"/>
        <w:numPr>
          <w:ilvl w:val="0"/>
          <w:numId w:val="2"/>
        </w:numPr>
      </w:pPr>
      <w:r>
        <w:t>Treatment of safety and other hazards</w:t>
      </w:r>
    </w:p>
    <w:p w14:paraId="099ABB94" w14:textId="22CFF08E" w:rsidR="00716043" w:rsidRDefault="00716043" w:rsidP="00B3612D">
      <w:pPr>
        <w:pStyle w:val="a9"/>
        <w:numPr>
          <w:ilvl w:val="0"/>
          <w:numId w:val="2"/>
        </w:numPr>
      </w:pPr>
      <w:r>
        <w:t>Removal of hazardous trees</w:t>
      </w:r>
    </w:p>
    <w:p w14:paraId="7005A066" w14:textId="0794C1DF" w:rsidR="00716043" w:rsidRDefault="00716043" w:rsidP="00B3612D">
      <w:pPr>
        <w:pStyle w:val="a9"/>
        <w:numPr>
          <w:ilvl w:val="0"/>
          <w:numId w:val="2"/>
        </w:numPr>
      </w:pPr>
      <w:r>
        <w:t>Treatment of invasive species</w:t>
      </w:r>
    </w:p>
    <w:p w14:paraId="163E775F" w14:textId="5668280B" w:rsidR="00716043" w:rsidRPr="00DA0A78" w:rsidRDefault="00716043" w:rsidP="00716043">
      <w:pPr>
        <w:rPr>
          <w:b/>
          <w:bCs/>
        </w:rPr>
      </w:pPr>
      <w:r w:rsidRPr="00DA0A78">
        <w:rPr>
          <w:b/>
          <w:bCs/>
        </w:rPr>
        <w:t xml:space="preserve">Stage 2 – intermediate (1-4 years </w:t>
      </w:r>
      <w:r w:rsidR="00CF1891" w:rsidRPr="00DA0A78">
        <w:rPr>
          <w:b/>
          <w:bCs/>
        </w:rPr>
        <w:t>after</w:t>
      </w:r>
      <w:r w:rsidRPr="00DA0A78">
        <w:rPr>
          <w:b/>
          <w:bCs/>
        </w:rPr>
        <w:t>)</w:t>
      </w:r>
    </w:p>
    <w:p w14:paraId="0ABF41DE" w14:textId="32E27A03" w:rsidR="00716043" w:rsidRDefault="00716043" w:rsidP="00716043">
      <w:pPr>
        <w:pStyle w:val="a9"/>
        <w:numPr>
          <w:ilvl w:val="0"/>
          <w:numId w:val="3"/>
        </w:numPr>
      </w:pPr>
      <w:r>
        <w:t>Continued treatment of other affected areas</w:t>
      </w:r>
    </w:p>
    <w:p w14:paraId="141D1A10" w14:textId="6A124C43" w:rsidR="00716043" w:rsidRDefault="00716043" w:rsidP="00716043">
      <w:pPr>
        <w:pStyle w:val="a9"/>
        <w:numPr>
          <w:ilvl w:val="0"/>
          <w:numId w:val="3"/>
        </w:numPr>
      </w:pPr>
      <w:r>
        <w:t xml:space="preserve">Preparation of an integrated plan </w:t>
      </w:r>
      <w:r w:rsidR="00CF1891">
        <w:t>for forest management and long-term rehabilitation</w:t>
      </w:r>
    </w:p>
    <w:p w14:paraId="7AAD16F6" w14:textId="04F1141E" w:rsidR="00CF1891" w:rsidRDefault="00CF1891" w:rsidP="00716043">
      <w:pPr>
        <w:pStyle w:val="a9"/>
        <w:numPr>
          <w:ilvl w:val="0"/>
          <w:numId w:val="3"/>
        </w:numPr>
      </w:pPr>
      <w:r>
        <w:t>Surveys, monitoring, area designation and prioritization, establishing firebreaks</w:t>
      </w:r>
    </w:p>
    <w:p w14:paraId="479F34DD" w14:textId="0FC7C44C" w:rsidR="00CF1891" w:rsidRDefault="00CF1891" w:rsidP="00716043">
      <w:pPr>
        <w:pStyle w:val="a9"/>
        <w:numPr>
          <w:ilvl w:val="0"/>
          <w:numId w:val="3"/>
        </w:numPr>
      </w:pPr>
      <w:r>
        <w:t>Plantings</w:t>
      </w:r>
    </w:p>
    <w:p w14:paraId="24623EAA" w14:textId="5032DACB" w:rsidR="00CF1891" w:rsidRPr="00DA0A78" w:rsidRDefault="00CF1891" w:rsidP="00CF1891">
      <w:pPr>
        <w:rPr>
          <w:b/>
          <w:bCs/>
        </w:rPr>
      </w:pPr>
      <w:r w:rsidRPr="00DA0A78">
        <w:rPr>
          <w:b/>
          <w:bCs/>
        </w:rPr>
        <w:t>Stage 3 – long term (4-20 years after)</w:t>
      </w:r>
    </w:p>
    <w:p w14:paraId="4D8DE3D8" w14:textId="206BAF41" w:rsidR="00D27C0E" w:rsidRDefault="00A524CB" w:rsidP="00A524CB">
      <w:pPr>
        <w:pStyle w:val="a9"/>
        <w:numPr>
          <w:ilvl w:val="0"/>
          <w:numId w:val="4"/>
        </w:numPr>
      </w:pPr>
      <w:r>
        <w:t>Completion of infrastructure repairs</w:t>
      </w:r>
    </w:p>
    <w:p w14:paraId="4CB4186A" w14:textId="7140C650" w:rsidR="00A524CB" w:rsidRDefault="00A524CB" w:rsidP="00A524CB">
      <w:pPr>
        <w:pStyle w:val="a9"/>
        <w:numPr>
          <w:ilvl w:val="0"/>
          <w:numId w:val="4"/>
        </w:numPr>
      </w:pPr>
      <w:r w:rsidRPr="00A524CB">
        <w:t>Implementation of the forest management plan (detailed planning and execution of vegetation rehabilitation across the entire forest area, based on the principles of the overall plan).</w:t>
      </w:r>
    </w:p>
    <w:p w14:paraId="5A8FE347" w14:textId="266C073E" w:rsidR="00D022C9" w:rsidRDefault="00E062B0" w:rsidP="00D022C9">
      <w:pPr>
        <w:rPr>
          <w:b/>
          <w:bCs/>
          <w:u w:val="single"/>
        </w:rPr>
      </w:pPr>
      <w:r>
        <w:rPr>
          <w:b/>
          <w:bCs/>
        </w:rPr>
        <w:t xml:space="preserve">Note: </w:t>
      </w:r>
      <w:r w:rsidR="00A524CB" w:rsidRPr="00A524CB">
        <w:rPr>
          <w:b/>
          <w:bCs/>
        </w:rPr>
        <w:t>The emergency campaign currently focuses on Stage 1</w:t>
      </w:r>
    </w:p>
    <w:p w14:paraId="5EEDA64D" w14:textId="43C74182" w:rsidR="00D022C9" w:rsidRDefault="00D022C9">
      <w:pPr>
        <w:rPr>
          <w:b/>
          <w:bCs/>
          <w:u w:val="single"/>
        </w:rPr>
      </w:pPr>
    </w:p>
    <w:p w14:paraId="12FDF1CF" w14:textId="77777777" w:rsidR="00D022C9" w:rsidRDefault="00D022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51965F3" w14:textId="4E28EC4C" w:rsidR="00A524CB" w:rsidRPr="00E062B0" w:rsidRDefault="00A524CB" w:rsidP="00A524CB">
      <w:pPr>
        <w:rPr>
          <w:b/>
          <w:bCs/>
          <w:u w:val="single"/>
        </w:rPr>
      </w:pPr>
      <w:r w:rsidRPr="00E062B0">
        <w:rPr>
          <w:b/>
          <w:bCs/>
          <w:u w:val="single"/>
        </w:rPr>
        <w:lastRenderedPageBreak/>
        <w:t>Cost Evaluation (July 2025)</w:t>
      </w:r>
    </w:p>
    <w:tbl>
      <w:tblPr>
        <w:tblStyle w:val="ae"/>
        <w:tblW w:w="9625" w:type="dxa"/>
        <w:tblLook w:val="04A0" w:firstRow="1" w:lastRow="0" w:firstColumn="1" w:lastColumn="0" w:noHBand="0" w:noVBand="1"/>
      </w:tblPr>
      <w:tblGrid>
        <w:gridCol w:w="1345"/>
        <w:gridCol w:w="1109"/>
        <w:gridCol w:w="1466"/>
        <w:gridCol w:w="1464"/>
        <w:gridCol w:w="1382"/>
        <w:gridCol w:w="1298"/>
        <w:gridCol w:w="1561"/>
      </w:tblGrid>
      <w:tr w:rsidR="00852058" w14:paraId="4F7F0BBA" w14:textId="77777777" w:rsidTr="00D27C0E">
        <w:trPr>
          <w:trHeight w:val="1126"/>
        </w:trPr>
        <w:tc>
          <w:tcPr>
            <w:tcW w:w="1345" w:type="dxa"/>
          </w:tcPr>
          <w:p w14:paraId="0A2E763B" w14:textId="77777777" w:rsidR="00852058" w:rsidRDefault="00852058" w:rsidP="00DA6EF3"/>
        </w:tc>
        <w:tc>
          <w:tcPr>
            <w:tcW w:w="1109" w:type="dxa"/>
          </w:tcPr>
          <w:p w14:paraId="337A7A98" w14:textId="54EDE246" w:rsidR="00852058" w:rsidRDefault="00852058" w:rsidP="00DA6EF3">
            <w:r>
              <w:t>Eshtaol bloc</w:t>
            </w:r>
          </w:p>
        </w:tc>
        <w:tc>
          <w:tcPr>
            <w:tcW w:w="1466" w:type="dxa"/>
          </w:tcPr>
          <w:p w14:paraId="7CBDE5CB" w14:textId="68D83027" w:rsidR="00852058" w:rsidRDefault="00852058" w:rsidP="00DA6EF3">
            <w:r>
              <w:t>Estimated cost, incl. VAT, in shekels</w:t>
            </w:r>
          </w:p>
        </w:tc>
        <w:tc>
          <w:tcPr>
            <w:tcW w:w="1464" w:type="dxa"/>
          </w:tcPr>
          <w:p w14:paraId="1C258F04" w14:textId="5D745F6D" w:rsidR="00852058" w:rsidRDefault="00852058" w:rsidP="00DA6EF3">
            <w:r>
              <w:t>Ben Shemen-Ayalon Canada Park bloc</w:t>
            </w:r>
          </w:p>
        </w:tc>
        <w:tc>
          <w:tcPr>
            <w:tcW w:w="1382" w:type="dxa"/>
          </w:tcPr>
          <w:p w14:paraId="67EC4014" w14:textId="7F8C9792" w:rsidR="00852058" w:rsidRDefault="00852058" w:rsidP="00DA6EF3">
            <w:r>
              <w:t>Estimated cost, incl.  VAT, in shekels</w:t>
            </w:r>
          </w:p>
        </w:tc>
        <w:tc>
          <w:tcPr>
            <w:tcW w:w="1298" w:type="dxa"/>
          </w:tcPr>
          <w:p w14:paraId="6D631EDF" w14:textId="0A404345" w:rsidR="00852058" w:rsidRDefault="00852058" w:rsidP="00DA6EF3">
            <w:r>
              <w:t xml:space="preserve">Yad </w:t>
            </w:r>
            <w:proofErr w:type="spellStart"/>
            <w:r>
              <w:t>Lashiryon</w:t>
            </w:r>
            <w:proofErr w:type="spellEnd"/>
            <w:r>
              <w:t xml:space="preserve"> surrounds, </w:t>
            </w:r>
            <w:proofErr w:type="spellStart"/>
            <w:r>
              <w:t>Latrun</w:t>
            </w:r>
            <w:proofErr w:type="spellEnd"/>
          </w:p>
        </w:tc>
        <w:tc>
          <w:tcPr>
            <w:tcW w:w="1561" w:type="dxa"/>
          </w:tcPr>
          <w:p w14:paraId="3ECACA13" w14:textId="0FABF77E" w:rsidR="00852058" w:rsidRDefault="00852058" w:rsidP="00852058">
            <w:r w:rsidRPr="00852058">
              <w:t>Estimated cost, incl.  VAT, in shekels</w:t>
            </w:r>
          </w:p>
        </w:tc>
      </w:tr>
      <w:tr w:rsidR="00852058" w14:paraId="3F80B6F7" w14:textId="77777777" w:rsidTr="00D27C0E">
        <w:trPr>
          <w:trHeight w:val="1112"/>
        </w:trPr>
        <w:tc>
          <w:tcPr>
            <w:tcW w:w="1345" w:type="dxa"/>
          </w:tcPr>
          <w:p w14:paraId="57F1D09C" w14:textId="186711A9" w:rsidR="00852058" w:rsidRDefault="00852058" w:rsidP="00DA6EF3">
            <w:r>
              <w:t>Burnt area in hectares, approx.</w:t>
            </w:r>
          </w:p>
        </w:tc>
        <w:tc>
          <w:tcPr>
            <w:tcW w:w="1109" w:type="dxa"/>
          </w:tcPr>
          <w:p w14:paraId="72DCDC0B" w14:textId="680641DC" w:rsidR="00852058" w:rsidRDefault="00852058" w:rsidP="00DA6EF3">
            <w:r>
              <w:t xml:space="preserve">650 </w:t>
            </w:r>
            <w:r w:rsidR="00115A5A">
              <w:t>hectares</w:t>
            </w:r>
          </w:p>
        </w:tc>
        <w:tc>
          <w:tcPr>
            <w:tcW w:w="1466" w:type="dxa"/>
          </w:tcPr>
          <w:p w14:paraId="1DF27700" w14:textId="0A48F2D2" w:rsidR="00852058" w:rsidRDefault="00852058" w:rsidP="00DA6EF3"/>
        </w:tc>
        <w:tc>
          <w:tcPr>
            <w:tcW w:w="1464" w:type="dxa"/>
          </w:tcPr>
          <w:p w14:paraId="79CC0F24" w14:textId="7CB08911" w:rsidR="00852058" w:rsidRDefault="00852058" w:rsidP="00DA6EF3">
            <w:r>
              <w:t xml:space="preserve">600 </w:t>
            </w:r>
            <w:r w:rsidR="00115A5A">
              <w:t>hectares</w:t>
            </w:r>
          </w:p>
        </w:tc>
        <w:tc>
          <w:tcPr>
            <w:tcW w:w="1382" w:type="dxa"/>
          </w:tcPr>
          <w:p w14:paraId="246DD79C" w14:textId="77777777" w:rsidR="00852058" w:rsidRDefault="00852058" w:rsidP="00DA6EF3"/>
        </w:tc>
        <w:tc>
          <w:tcPr>
            <w:tcW w:w="1298" w:type="dxa"/>
          </w:tcPr>
          <w:p w14:paraId="24F53525" w14:textId="3AEA2698" w:rsidR="00852058" w:rsidRDefault="00852058" w:rsidP="00DA6EF3">
            <w:r>
              <w:t>10 h</w:t>
            </w:r>
            <w:r w:rsidR="00115A5A">
              <w:t>ectares</w:t>
            </w:r>
          </w:p>
        </w:tc>
        <w:tc>
          <w:tcPr>
            <w:tcW w:w="1561" w:type="dxa"/>
          </w:tcPr>
          <w:p w14:paraId="7B5394D8" w14:textId="77777777" w:rsidR="00852058" w:rsidRDefault="00852058" w:rsidP="00DA6EF3"/>
        </w:tc>
      </w:tr>
      <w:tr w:rsidR="00852058" w14:paraId="74A030E9" w14:textId="77777777" w:rsidTr="00D27C0E">
        <w:trPr>
          <w:trHeight w:val="275"/>
        </w:trPr>
        <w:tc>
          <w:tcPr>
            <w:tcW w:w="1345" w:type="dxa"/>
          </w:tcPr>
          <w:p w14:paraId="47F7E7A3" w14:textId="4A696210" w:rsidR="00852058" w:rsidRDefault="00115A5A" w:rsidP="00DA6EF3">
            <w:r>
              <w:t>Forests</w:t>
            </w:r>
          </w:p>
        </w:tc>
        <w:tc>
          <w:tcPr>
            <w:tcW w:w="1109" w:type="dxa"/>
          </w:tcPr>
          <w:p w14:paraId="0C7E441D" w14:textId="44C4EC09" w:rsidR="00852058" w:rsidRDefault="00115A5A" w:rsidP="00DA6EF3">
            <w:proofErr w:type="spellStart"/>
            <w:r>
              <w:t>Eshatol</w:t>
            </w:r>
            <w:proofErr w:type="spellEnd"/>
            <w:r>
              <w:t xml:space="preserve"> Forest</w:t>
            </w:r>
          </w:p>
        </w:tc>
        <w:tc>
          <w:tcPr>
            <w:tcW w:w="1466" w:type="dxa"/>
          </w:tcPr>
          <w:p w14:paraId="6307D597" w14:textId="77777777" w:rsidR="00852058" w:rsidRDefault="00852058" w:rsidP="00DA6EF3"/>
        </w:tc>
        <w:tc>
          <w:tcPr>
            <w:tcW w:w="1464" w:type="dxa"/>
          </w:tcPr>
          <w:p w14:paraId="3E99DF84" w14:textId="18D69EBB" w:rsidR="00852058" w:rsidRDefault="00115A5A" w:rsidP="00DA6EF3">
            <w:r>
              <w:t>Ayalon Canada Park Forest</w:t>
            </w:r>
          </w:p>
        </w:tc>
        <w:tc>
          <w:tcPr>
            <w:tcW w:w="1382" w:type="dxa"/>
          </w:tcPr>
          <w:p w14:paraId="3020A6BE" w14:textId="77777777" w:rsidR="00852058" w:rsidRDefault="00852058" w:rsidP="00DA6EF3"/>
        </w:tc>
        <w:tc>
          <w:tcPr>
            <w:tcW w:w="1298" w:type="dxa"/>
          </w:tcPr>
          <w:p w14:paraId="6FA98E0E" w14:textId="77777777" w:rsidR="00852058" w:rsidRDefault="00852058" w:rsidP="00DA6EF3"/>
        </w:tc>
        <w:tc>
          <w:tcPr>
            <w:tcW w:w="1561" w:type="dxa"/>
          </w:tcPr>
          <w:p w14:paraId="299EA7A6" w14:textId="77777777" w:rsidR="00852058" w:rsidRDefault="00852058" w:rsidP="00DA6EF3"/>
        </w:tc>
      </w:tr>
      <w:tr w:rsidR="00852058" w14:paraId="4A4E2E0C" w14:textId="77777777" w:rsidTr="00D27C0E">
        <w:trPr>
          <w:trHeight w:val="287"/>
        </w:trPr>
        <w:tc>
          <w:tcPr>
            <w:tcW w:w="1345" w:type="dxa"/>
          </w:tcPr>
          <w:p w14:paraId="408144E5" w14:textId="0FFEF69D" w:rsidR="00852058" w:rsidRDefault="00115A5A" w:rsidP="00DA6EF3">
            <w:r>
              <w:t>Removal of hazards</w:t>
            </w:r>
            <w:r w:rsidR="00D27C0E">
              <w:t xml:space="preserve"> (trees near roads and access areas) and cleaning </w:t>
            </w:r>
          </w:p>
        </w:tc>
        <w:tc>
          <w:tcPr>
            <w:tcW w:w="1109" w:type="dxa"/>
          </w:tcPr>
          <w:p w14:paraId="3A3CCE8C" w14:textId="77777777" w:rsidR="00852058" w:rsidRDefault="00852058" w:rsidP="00DA6EF3"/>
        </w:tc>
        <w:tc>
          <w:tcPr>
            <w:tcW w:w="1466" w:type="dxa"/>
          </w:tcPr>
          <w:p w14:paraId="49CCA408" w14:textId="2983982B" w:rsidR="00852058" w:rsidRDefault="00D27C0E" w:rsidP="00DA6EF3">
            <w:r>
              <w:t>6,500,000</w:t>
            </w:r>
          </w:p>
        </w:tc>
        <w:tc>
          <w:tcPr>
            <w:tcW w:w="1464" w:type="dxa"/>
          </w:tcPr>
          <w:p w14:paraId="4ABD9235" w14:textId="77777777" w:rsidR="00852058" w:rsidRDefault="00852058" w:rsidP="00DA6EF3"/>
        </w:tc>
        <w:tc>
          <w:tcPr>
            <w:tcW w:w="1382" w:type="dxa"/>
          </w:tcPr>
          <w:p w14:paraId="659EEA25" w14:textId="11BF4F3A" w:rsidR="00852058" w:rsidRDefault="00D27C0E" w:rsidP="00DA6EF3">
            <w:r>
              <w:t>6,000,000</w:t>
            </w:r>
          </w:p>
        </w:tc>
        <w:tc>
          <w:tcPr>
            <w:tcW w:w="1298" w:type="dxa"/>
          </w:tcPr>
          <w:p w14:paraId="1C89870D" w14:textId="77777777" w:rsidR="00852058" w:rsidRDefault="00852058" w:rsidP="00DA6EF3"/>
        </w:tc>
        <w:tc>
          <w:tcPr>
            <w:tcW w:w="1561" w:type="dxa"/>
          </w:tcPr>
          <w:p w14:paraId="73EF6B48" w14:textId="6133A5E7" w:rsidR="00852058" w:rsidRDefault="00D27C0E" w:rsidP="00DA6EF3">
            <w:r>
              <w:t>100,000</w:t>
            </w:r>
          </w:p>
        </w:tc>
      </w:tr>
      <w:tr w:rsidR="00852058" w14:paraId="1FA1EC7E" w14:textId="77777777" w:rsidTr="00D27C0E">
        <w:trPr>
          <w:trHeight w:val="275"/>
        </w:trPr>
        <w:tc>
          <w:tcPr>
            <w:tcW w:w="1345" w:type="dxa"/>
          </w:tcPr>
          <w:p w14:paraId="344955FB" w14:textId="6DF1A99D" w:rsidR="00852058" w:rsidRDefault="00D27C0E" w:rsidP="00DA6EF3">
            <w:r>
              <w:t>Control of invasive species</w:t>
            </w:r>
          </w:p>
        </w:tc>
        <w:tc>
          <w:tcPr>
            <w:tcW w:w="1109" w:type="dxa"/>
          </w:tcPr>
          <w:p w14:paraId="7C744CEE" w14:textId="77777777" w:rsidR="00852058" w:rsidRDefault="00852058" w:rsidP="00DA6EF3"/>
        </w:tc>
        <w:tc>
          <w:tcPr>
            <w:tcW w:w="1466" w:type="dxa"/>
          </w:tcPr>
          <w:p w14:paraId="14B842FF" w14:textId="653EFF35" w:rsidR="00852058" w:rsidRDefault="00D27C0E" w:rsidP="00DA6EF3">
            <w:r>
              <w:t>250,000</w:t>
            </w:r>
          </w:p>
        </w:tc>
        <w:tc>
          <w:tcPr>
            <w:tcW w:w="1464" w:type="dxa"/>
          </w:tcPr>
          <w:p w14:paraId="7BEEDFEA" w14:textId="77777777" w:rsidR="00852058" w:rsidRDefault="00852058" w:rsidP="00DA6EF3"/>
        </w:tc>
        <w:tc>
          <w:tcPr>
            <w:tcW w:w="1382" w:type="dxa"/>
          </w:tcPr>
          <w:p w14:paraId="16110574" w14:textId="7BC4D19E" w:rsidR="00852058" w:rsidRDefault="00D27C0E" w:rsidP="00DA6EF3">
            <w:r>
              <w:t>150,000</w:t>
            </w:r>
          </w:p>
        </w:tc>
        <w:tc>
          <w:tcPr>
            <w:tcW w:w="1298" w:type="dxa"/>
          </w:tcPr>
          <w:p w14:paraId="260AE6EB" w14:textId="77777777" w:rsidR="00852058" w:rsidRDefault="00852058" w:rsidP="00DA6EF3"/>
        </w:tc>
        <w:tc>
          <w:tcPr>
            <w:tcW w:w="1561" w:type="dxa"/>
          </w:tcPr>
          <w:p w14:paraId="178CED6B" w14:textId="48AA94AE" w:rsidR="00852058" w:rsidRDefault="00D27C0E" w:rsidP="00DA6EF3">
            <w:r>
              <w:t>0</w:t>
            </w:r>
          </w:p>
        </w:tc>
      </w:tr>
      <w:tr w:rsidR="00852058" w14:paraId="4CA13FAA" w14:textId="77777777" w:rsidTr="00D27C0E">
        <w:trPr>
          <w:trHeight w:val="275"/>
        </w:trPr>
        <w:tc>
          <w:tcPr>
            <w:tcW w:w="1345" w:type="dxa"/>
          </w:tcPr>
          <w:p w14:paraId="21FA6D80" w14:textId="21A7F8DF" w:rsidR="00852058" w:rsidRDefault="00D27C0E" w:rsidP="00DA6EF3">
            <w:r>
              <w:t xml:space="preserve">Immediate repair of fences and signs </w:t>
            </w:r>
          </w:p>
        </w:tc>
        <w:tc>
          <w:tcPr>
            <w:tcW w:w="1109" w:type="dxa"/>
          </w:tcPr>
          <w:p w14:paraId="1F47852B" w14:textId="77777777" w:rsidR="00852058" w:rsidRDefault="00852058" w:rsidP="00DA6EF3"/>
        </w:tc>
        <w:tc>
          <w:tcPr>
            <w:tcW w:w="1466" w:type="dxa"/>
          </w:tcPr>
          <w:p w14:paraId="15CC88E8" w14:textId="14E7BA75" w:rsidR="00852058" w:rsidRDefault="00D27C0E" w:rsidP="00DA6EF3">
            <w:r>
              <w:t>20,000</w:t>
            </w:r>
          </w:p>
        </w:tc>
        <w:tc>
          <w:tcPr>
            <w:tcW w:w="1464" w:type="dxa"/>
          </w:tcPr>
          <w:p w14:paraId="62ACEE4B" w14:textId="77777777" w:rsidR="00852058" w:rsidRDefault="00852058" w:rsidP="00DA6EF3"/>
        </w:tc>
        <w:tc>
          <w:tcPr>
            <w:tcW w:w="1382" w:type="dxa"/>
          </w:tcPr>
          <w:p w14:paraId="1F3E8E10" w14:textId="19306DF0" w:rsidR="00852058" w:rsidRDefault="00D27C0E" w:rsidP="00DA6EF3">
            <w:r>
              <w:t>50,000</w:t>
            </w:r>
          </w:p>
        </w:tc>
        <w:tc>
          <w:tcPr>
            <w:tcW w:w="1298" w:type="dxa"/>
          </w:tcPr>
          <w:p w14:paraId="3DDCB4FC" w14:textId="77777777" w:rsidR="00852058" w:rsidRDefault="00852058" w:rsidP="00DA6EF3"/>
        </w:tc>
        <w:tc>
          <w:tcPr>
            <w:tcW w:w="1561" w:type="dxa"/>
          </w:tcPr>
          <w:p w14:paraId="627945AE" w14:textId="77777777" w:rsidR="00852058" w:rsidRDefault="00D27C0E" w:rsidP="00DA6EF3">
            <w:r>
              <w:t>12,000</w:t>
            </w:r>
          </w:p>
          <w:p w14:paraId="145F2584" w14:textId="5532D9D1" w:rsidR="00D27C0E" w:rsidRDefault="00D27C0E" w:rsidP="00DA6EF3"/>
        </w:tc>
      </w:tr>
      <w:tr w:rsidR="00D27C0E" w14:paraId="6A15C4F7" w14:textId="77777777" w:rsidTr="00D27C0E">
        <w:trPr>
          <w:trHeight w:val="275"/>
        </w:trPr>
        <w:tc>
          <w:tcPr>
            <w:tcW w:w="1345" w:type="dxa"/>
          </w:tcPr>
          <w:p w14:paraId="5BB2DB2A" w14:textId="3401320B" w:rsidR="00D27C0E" w:rsidRDefault="00D27C0E" w:rsidP="00DA6EF3">
            <w:r>
              <w:t>Concrete base for equipment storage container</w:t>
            </w:r>
          </w:p>
        </w:tc>
        <w:tc>
          <w:tcPr>
            <w:tcW w:w="1109" w:type="dxa"/>
          </w:tcPr>
          <w:p w14:paraId="778EC747" w14:textId="77777777" w:rsidR="00D27C0E" w:rsidRDefault="00D27C0E" w:rsidP="00DA6EF3"/>
        </w:tc>
        <w:tc>
          <w:tcPr>
            <w:tcW w:w="1466" w:type="dxa"/>
          </w:tcPr>
          <w:p w14:paraId="3B7FD3A6" w14:textId="77777777" w:rsidR="00D27C0E" w:rsidRDefault="00D27C0E" w:rsidP="00DA6EF3"/>
        </w:tc>
        <w:tc>
          <w:tcPr>
            <w:tcW w:w="1464" w:type="dxa"/>
          </w:tcPr>
          <w:p w14:paraId="31E74DAA" w14:textId="77777777" w:rsidR="00D27C0E" w:rsidRDefault="00D27C0E" w:rsidP="00DA6EF3"/>
        </w:tc>
        <w:tc>
          <w:tcPr>
            <w:tcW w:w="1382" w:type="dxa"/>
          </w:tcPr>
          <w:p w14:paraId="1415D41C" w14:textId="77777777" w:rsidR="00D27C0E" w:rsidRDefault="00D27C0E" w:rsidP="00DA6EF3">
            <w:r>
              <w:t>22,000</w:t>
            </w:r>
          </w:p>
          <w:p w14:paraId="119B3BBE" w14:textId="2F9EAD49" w:rsidR="00D27C0E" w:rsidRDefault="00D27C0E" w:rsidP="00DA6EF3"/>
        </w:tc>
        <w:tc>
          <w:tcPr>
            <w:tcW w:w="1298" w:type="dxa"/>
          </w:tcPr>
          <w:p w14:paraId="0B4F985B" w14:textId="77777777" w:rsidR="00D27C0E" w:rsidRDefault="00D27C0E" w:rsidP="00DA6EF3"/>
        </w:tc>
        <w:tc>
          <w:tcPr>
            <w:tcW w:w="1561" w:type="dxa"/>
          </w:tcPr>
          <w:p w14:paraId="0794949B" w14:textId="77777777" w:rsidR="00D27C0E" w:rsidRDefault="00D27C0E" w:rsidP="00DA6EF3"/>
        </w:tc>
      </w:tr>
      <w:tr w:rsidR="00D27C0E" w14:paraId="4435331D" w14:textId="77777777" w:rsidTr="00D27C0E">
        <w:trPr>
          <w:trHeight w:val="275"/>
        </w:trPr>
        <w:tc>
          <w:tcPr>
            <w:tcW w:w="1345" w:type="dxa"/>
          </w:tcPr>
          <w:p w14:paraId="42E782BD" w14:textId="30925441" w:rsidR="00D27C0E" w:rsidRDefault="00D27C0E" w:rsidP="00DA6EF3">
            <w:r>
              <w:t>Subtotal</w:t>
            </w:r>
          </w:p>
        </w:tc>
        <w:tc>
          <w:tcPr>
            <w:tcW w:w="1109" w:type="dxa"/>
          </w:tcPr>
          <w:p w14:paraId="468F5B09" w14:textId="77777777" w:rsidR="00D27C0E" w:rsidRDefault="00D27C0E" w:rsidP="00DA6EF3"/>
        </w:tc>
        <w:tc>
          <w:tcPr>
            <w:tcW w:w="1466" w:type="dxa"/>
          </w:tcPr>
          <w:p w14:paraId="04A441F6" w14:textId="76CFE192" w:rsidR="00D27C0E" w:rsidRDefault="00D27C0E" w:rsidP="00DA6EF3">
            <w:r>
              <w:t>6,770,000</w:t>
            </w:r>
          </w:p>
        </w:tc>
        <w:tc>
          <w:tcPr>
            <w:tcW w:w="1464" w:type="dxa"/>
          </w:tcPr>
          <w:p w14:paraId="2C833E1B" w14:textId="77777777" w:rsidR="00D27C0E" w:rsidRDefault="00D27C0E" w:rsidP="00DA6EF3"/>
        </w:tc>
        <w:tc>
          <w:tcPr>
            <w:tcW w:w="1382" w:type="dxa"/>
          </w:tcPr>
          <w:p w14:paraId="41F24D14" w14:textId="0146D0D8" w:rsidR="00D27C0E" w:rsidRDefault="00D27C0E" w:rsidP="00DA6EF3">
            <w:r>
              <w:t>6,222,000</w:t>
            </w:r>
          </w:p>
        </w:tc>
        <w:tc>
          <w:tcPr>
            <w:tcW w:w="1298" w:type="dxa"/>
          </w:tcPr>
          <w:p w14:paraId="0783C5BF" w14:textId="77777777" w:rsidR="00D27C0E" w:rsidRDefault="00D27C0E" w:rsidP="00DA6EF3"/>
        </w:tc>
        <w:tc>
          <w:tcPr>
            <w:tcW w:w="1561" w:type="dxa"/>
          </w:tcPr>
          <w:p w14:paraId="6545DCD1" w14:textId="0497D578" w:rsidR="00D27C0E" w:rsidRDefault="00D27C0E" w:rsidP="00DA6EF3">
            <w:r>
              <w:t>112,000</w:t>
            </w:r>
          </w:p>
        </w:tc>
      </w:tr>
      <w:tr w:rsidR="00D27C0E" w14:paraId="24096BC9" w14:textId="77777777" w:rsidTr="009C6ED0">
        <w:trPr>
          <w:trHeight w:val="275"/>
        </w:trPr>
        <w:tc>
          <w:tcPr>
            <w:tcW w:w="1345" w:type="dxa"/>
          </w:tcPr>
          <w:p w14:paraId="0F51FD73" w14:textId="32FAEABF" w:rsidR="00D27C0E" w:rsidRDefault="00D27C0E" w:rsidP="00DA6EF3">
            <w:r>
              <w:t>Total</w:t>
            </w:r>
          </w:p>
        </w:tc>
        <w:tc>
          <w:tcPr>
            <w:tcW w:w="8280" w:type="dxa"/>
            <w:gridSpan w:val="6"/>
          </w:tcPr>
          <w:p w14:paraId="548F99BB" w14:textId="25004189" w:rsidR="00D27C0E" w:rsidRDefault="00D27C0E" w:rsidP="00D27C0E">
            <w:pPr>
              <w:jc w:val="center"/>
            </w:pPr>
            <w:r>
              <w:t>13,104,000</w:t>
            </w:r>
          </w:p>
        </w:tc>
      </w:tr>
    </w:tbl>
    <w:p w14:paraId="6BEC4FBD" w14:textId="0EB5F7C5" w:rsidR="00961235" w:rsidRDefault="00A524CB" w:rsidP="00DA6EF3">
      <w:r>
        <w:t xml:space="preserve"> </w:t>
      </w:r>
    </w:p>
    <w:p w14:paraId="6E81D439" w14:textId="5AC70A00" w:rsidR="00A524CB" w:rsidRPr="00E062B0" w:rsidRDefault="00A524CB" w:rsidP="00DA6EF3">
      <w:pPr>
        <w:rPr>
          <w:b/>
          <w:bCs/>
          <w:u w:val="single"/>
        </w:rPr>
      </w:pPr>
      <w:r w:rsidRPr="00E062B0">
        <w:rPr>
          <w:b/>
          <w:bCs/>
          <w:u w:val="single"/>
        </w:rPr>
        <w:t>Rehabilitation activities until now:</w:t>
      </w:r>
    </w:p>
    <w:p w14:paraId="06073529" w14:textId="524DFD74" w:rsidR="00A524CB" w:rsidRDefault="00A524CB" w:rsidP="00A524CB">
      <w:pPr>
        <w:pStyle w:val="a9"/>
        <w:numPr>
          <w:ilvl w:val="0"/>
          <w:numId w:val="5"/>
        </w:numPr>
      </w:pPr>
      <w:r>
        <w:t>About 70% of the areas defined as “highly urgent” have been treated</w:t>
      </w:r>
    </w:p>
    <w:p w14:paraId="62D91BDD" w14:textId="77777777" w:rsidR="008A161C" w:rsidRDefault="00A524CB" w:rsidP="008A161C">
      <w:pPr>
        <w:pStyle w:val="a9"/>
        <w:numPr>
          <w:ilvl w:val="0"/>
          <w:numId w:val="5"/>
        </w:numPr>
      </w:pPr>
      <w:r>
        <w:t>Immediate hazards have been removed</w:t>
      </w:r>
    </w:p>
    <w:p w14:paraId="76D9C4D4" w14:textId="0D03168D" w:rsidR="00961235" w:rsidRDefault="008A161C" w:rsidP="008A161C">
      <w:pPr>
        <w:pStyle w:val="a9"/>
        <w:numPr>
          <w:ilvl w:val="0"/>
          <w:numId w:val="5"/>
        </w:numPr>
      </w:pPr>
      <w:r>
        <w:t>In preparations to</w:t>
      </w:r>
      <w:r w:rsidRPr="008A161C">
        <w:t xml:space="preserve"> develop a plan to manage the remaining plots and plan new </w:t>
      </w:r>
      <w:r>
        <w:t>firebreaks</w:t>
      </w:r>
    </w:p>
    <w:p w14:paraId="180AF401" w14:textId="7CCF69E8" w:rsidR="003D1178" w:rsidRDefault="003D1178" w:rsidP="008A161C">
      <w:pPr>
        <w:pStyle w:val="a9"/>
        <w:numPr>
          <w:ilvl w:val="0"/>
          <w:numId w:val="5"/>
        </w:numPr>
      </w:pPr>
      <w:r>
        <w:t>Maintenance of roads</w:t>
      </w:r>
    </w:p>
    <w:p w14:paraId="0549D5E7" w14:textId="75694234" w:rsidR="003D1178" w:rsidRDefault="003D1178" w:rsidP="008A161C">
      <w:pPr>
        <w:pStyle w:val="a9"/>
        <w:numPr>
          <w:ilvl w:val="0"/>
          <w:numId w:val="5"/>
        </w:numPr>
      </w:pPr>
      <w:r>
        <w:t>Planning the treatment of invasive species</w:t>
      </w:r>
    </w:p>
    <w:p w14:paraId="274DA770" w14:textId="0F850E70" w:rsidR="003D1178" w:rsidRDefault="003D1178" w:rsidP="008A161C">
      <w:pPr>
        <w:pStyle w:val="a9"/>
        <w:numPr>
          <w:ilvl w:val="0"/>
          <w:numId w:val="5"/>
        </w:numPr>
      </w:pPr>
      <w:r>
        <w:lastRenderedPageBreak/>
        <w:t>Planting plan – will be based on the 2026 surveys and will be prepared towards the winter of 2027</w:t>
      </w:r>
    </w:p>
    <w:p w14:paraId="31416F77" w14:textId="04CC8485" w:rsidR="003D1178" w:rsidRDefault="003D1178" w:rsidP="008A161C">
      <w:pPr>
        <w:pStyle w:val="a9"/>
        <w:numPr>
          <w:ilvl w:val="0"/>
          <w:numId w:val="5"/>
        </w:numPr>
      </w:pPr>
      <w:r>
        <w:t>Renewed growth and flowering have been observed</w:t>
      </w:r>
    </w:p>
    <w:p w14:paraId="0D0D11BF" w14:textId="33E7A093" w:rsidR="003D1178" w:rsidRPr="00E062B0" w:rsidRDefault="003D1178" w:rsidP="003D1178">
      <w:pPr>
        <w:rPr>
          <w:b/>
          <w:bCs/>
          <w:u w:val="single"/>
        </w:rPr>
      </w:pPr>
      <w:r w:rsidRPr="00E062B0">
        <w:rPr>
          <w:b/>
          <w:bCs/>
          <w:u w:val="single"/>
        </w:rPr>
        <w:t>Eshtaol Forest</w:t>
      </w:r>
    </w:p>
    <w:p w14:paraId="4674F593" w14:textId="04FCE885" w:rsidR="003D1178" w:rsidRDefault="003D1178" w:rsidP="003D1178">
      <w:r w:rsidRPr="003D1178">
        <w:t>A plan is being developed for follow-up treatments on secondary roads</w:t>
      </w:r>
    </w:p>
    <w:p w14:paraId="33594BFC" w14:textId="6D75815E" w:rsidR="003D1178" w:rsidRPr="00E062B0" w:rsidRDefault="003D1178" w:rsidP="003D1178">
      <w:pPr>
        <w:rPr>
          <w:b/>
          <w:bCs/>
          <w:u w:val="single"/>
        </w:rPr>
      </w:pPr>
      <w:r w:rsidRPr="00E062B0">
        <w:rPr>
          <w:b/>
          <w:bCs/>
          <w:u w:val="single"/>
        </w:rPr>
        <w:t>Ayalon-Canada Park</w:t>
      </w:r>
    </w:p>
    <w:p w14:paraId="6A16510B" w14:textId="31AB16D3" w:rsidR="003D1178" w:rsidRDefault="0093039B" w:rsidP="0093039B">
      <w:pPr>
        <w:pStyle w:val="a9"/>
        <w:numPr>
          <w:ilvl w:val="0"/>
          <w:numId w:val="6"/>
        </w:numPr>
      </w:pPr>
      <w:r>
        <w:t xml:space="preserve">Rehabilitation is complex due to managing the park’s opening to the public </w:t>
      </w:r>
    </w:p>
    <w:p w14:paraId="46BAC6D0" w14:textId="501B4949" w:rsidR="0093039B" w:rsidRDefault="0093039B" w:rsidP="0093039B">
      <w:pPr>
        <w:pStyle w:val="a9"/>
        <w:numPr>
          <w:ilvl w:val="0"/>
          <w:numId w:val="6"/>
        </w:numPr>
      </w:pPr>
      <w:r>
        <w:t>Planned action: to create a leisure and tourism area in the heart of the park, and continuing rehabilitation work on its periphery. A work plan will be developed.</w:t>
      </w:r>
    </w:p>
    <w:p w14:paraId="7B34B7CA" w14:textId="2F8D582C" w:rsidR="0093039B" w:rsidRDefault="0093039B" w:rsidP="0093039B">
      <w:pPr>
        <w:pStyle w:val="a9"/>
        <w:numPr>
          <w:ilvl w:val="0"/>
          <w:numId w:val="6"/>
        </w:numPr>
      </w:pPr>
      <w:r w:rsidRPr="0093039B">
        <w:t>Mine clearance – carried out using a dedicated demining system, to be completed before the park opens</w:t>
      </w:r>
    </w:p>
    <w:p w14:paraId="03908833" w14:textId="473F6126" w:rsidR="0093039B" w:rsidRPr="00E062B0" w:rsidRDefault="0093039B" w:rsidP="003D1178">
      <w:pPr>
        <w:rPr>
          <w:b/>
          <w:bCs/>
          <w:u w:val="single"/>
        </w:rPr>
      </w:pPr>
      <w:r w:rsidRPr="00E062B0">
        <w:rPr>
          <w:b/>
          <w:bCs/>
          <w:u w:val="single"/>
        </w:rPr>
        <w:t>Nature strips along Road 1</w:t>
      </w:r>
    </w:p>
    <w:p w14:paraId="4C6E2D68" w14:textId="08213E50" w:rsidR="0093039B" w:rsidRDefault="00803CAB" w:rsidP="00803CAB">
      <w:pPr>
        <w:pStyle w:val="a9"/>
        <w:numPr>
          <w:ilvl w:val="0"/>
          <w:numId w:val="7"/>
        </w:numPr>
      </w:pPr>
      <w:r>
        <w:t xml:space="preserve">Removal of burnt trees in cooperation with </w:t>
      </w:r>
      <w:proofErr w:type="spellStart"/>
      <w:r>
        <w:t>Netivei</w:t>
      </w:r>
      <w:proofErr w:type="spellEnd"/>
      <w:r>
        <w:t xml:space="preserve"> Israel (Israel Roads)</w:t>
      </w:r>
    </w:p>
    <w:p w14:paraId="49E5B727" w14:textId="1CAFDCE3" w:rsidR="00803CAB" w:rsidRDefault="00803CAB" w:rsidP="00803CAB">
      <w:pPr>
        <w:pStyle w:val="a9"/>
        <w:numPr>
          <w:ilvl w:val="0"/>
          <w:numId w:val="7"/>
        </w:numPr>
      </w:pPr>
      <w:r>
        <w:t>KKL-JNF will treat invasive species and remove burnt trees</w:t>
      </w:r>
    </w:p>
    <w:p w14:paraId="690CCF25" w14:textId="54C99BDC" w:rsidR="00803CAB" w:rsidRDefault="00803CAB" w:rsidP="00803CAB">
      <w:pPr>
        <w:pStyle w:val="a9"/>
        <w:numPr>
          <w:ilvl w:val="0"/>
          <w:numId w:val="7"/>
        </w:numPr>
      </w:pPr>
      <w:r>
        <w:t>This activity has become a focus for donation in the framework of Project 22437.</w:t>
      </w:r>
    </w:p>
    <w:p w14:paraId="58D63042" w14:textId="151D6535" w:rsidR="00803CAB" w:rsidRDefault="00DA0A78" w:rsidP="00DA0A78">
      <w:r w:rsidRPr="00E062B0">
        <w:rPr>
          <w:b/>
          <w:bCs/>
          <w:u w:val="single"/>
        </w:rPr>
        <w:t>Plan for Treatment of Burnt Trees (2026):</w:t>
      </w:r>
      <w:r w:rsidRPr="00DA0A78">
        <w:br/>
        <w:t>Recommendation: Treatment of enclosed areas (narrow, small, and between roads) and areas designated for future firebreaks.</w:t>
      </w:r>
      <w:r w:rsidRPr="00DA0A78">
        <w:br/>
        <w:t xml:space="preserve">Discussion on the reallocation of firebreak zones in the Eshtaol Forest and </w:t>
      </w:r>
      <w:r>
        <w:t>Ayalon-</w:t>
      </w:r>
      <w:r w:rsidRPr="00DA0A78">
        <w:t>Canada Park.</w:t>
      </w:r>
      <w:r w:rsidRPr="00DA0A78">
        <w:br/>
        <w:t>The steering committee convenes once every 4–6 weeks.</w:t>
      </w:r>
    </w:p>
    <w:p w14:paraId="24245E6D" w14:textId="6A21C543" w:rsidR="00DA0A78" w:rsidRPr="00E062B0" w:rsidRDefault="00DA0A78" w:rsidP="00DA0A78">
      <w:pPr>
        <w:rPr>
          <w:b/>
          <w:bCs/>
          <w:u w:val="single"/>
        </w:rPr>
      </w:pPr>
      <w:r w:rsidRPr="00E062B0">
        <w:rPr>
          <w:b/>
          <w:bCs/>
          <w:u w:val="single"/>
        </w:rPr>
        <w:t>Attachments:</w:t>
      </w:r>
    </w:p>
    <w:p w14:paraId="55CBEAD3" w14:textId="77777777" w:rsidR="00DA0A78" w:rsidRDefault="00DA0A78" w:rsidP="00DA0A78">
      <w:pPr>
        <w:pStyle w:val="a9"/>
        <w:numPr>
          <w:ilvl w:val="0"/>
          <w:numId w:val="8"/>
        </w:numPr>
      </w:pPr>
      <w:r w:rsidRPr="00DA0A78">
        <w:t>Link to photo folder</w:t>
      </w:r>
    </w:p>
    <w:p w14:paraId="02C151A6" w14:textId="77777777" w:rsidR="00DA0A78" w:rsidRDefault="00DA0A78" w:rsidP="00DA0A78">
      <w:pPr>
        <w:pStyle w:val="a9"/>
        <w:numPr>
          <w:ilvl w:val="0"/>
          <w:numId w:val="8"/>
        </w:numPr>
      </w:pPr>
      <w:r>
        <w:t>Presentation on Ayalon-</w:t>
      </w:r>
      <w:r w:rsidRPr="00DA0A78">
        <w:t>Canada Park – Highway 1 (English)</w:t>
      </w:r>
      <w:r>
        <w:t xml:space="preserve"> </w:t>
      </w:r>
    </w:p>
    <w:p w14:paraId="2887F151" w14:textId="4CA98796" w:rsidR="00DA0A78" w:rsidRDefault="00DA0A78" w:rsidP="00DA0A78">
      <w:pPr>
        <w:pStyle w:val="a9"/>
        <w:numPr>
          <w:ilvl w:val="0"/>
          <w:numId w:val="8"/>
        </w:numPr>
      </w:pPr>
      <w:r>
        <w:t xml:space="preserve">Map of </w:t>
      </w:r>
      <w:r w:rsidRPr="00DA0A78">
        <w:t>Eshtaol Forest fire</w:t>
      </w:r>
      <w:r>
        <w:t>s</w:t>
      </w:r>
    </w:p>
    <w:p w14:paraId="5895FB2D" w14:textId="77777777" w:rsidR="00DA0A78" w:rsidRDefault="00DA0A78" w:rsidP="00DA0A78">
      <w:pPr>
        <w:pStyle w:val="a9"/>
        <w:numPr>
          <w:ilvl w:val="0"/>
          <w:numId w:val="8"/>
        </w:numPr>
      </w:pPr>
      <w:r>
        <w:t>Map of fires</w:t>
      </w:r>
      <w:r w:rsidRPr="00DA0A78">
        <w:t xml:space="preserve"> and area</w:t>
      </w:r>
      <w:r>
        <w:t xml:space="preserve">s for fundraising in Ayalon-Canada Park </w:t>
      </w:r>
      <w:r w:rsidRPr="00DA0A78">
        <w:t xml:space="preserve">along Highway 1 </w:t>
      </w:r>
    </w:p>
    <w:p w14:paraId="38778C77" w14:textId="77777777" w:rsidR="00DA0A78" w:rsidRDefault="00DA0A78" w:rsidP="00DA0A78">
      <w:pPr>
        <w:pStyle w:val="a9"/>
        <w:numPr>
          <w:ilvl w:val="0"/>
          <w:numId w:val="8"/>
        </w:numPr>
      </w:pPr>
      <w:r w:rsidRPr="00DA0A78">
        <w:t xml:space="preserve">Eshtaol Forest </w:t>
      </w:r>
      <w:r>
        <w:t>LATAM</w:t>
      </w:r>
      <w:r w:rsidRPr="00DA0A78">
        <w:t xml:space="preserve"> brochure</w:t>
      </w:r>
      <w:r>
        <w:t xml:space="preserve"> </w:t>
      </w:r>
    </w:p>
    <w:p w14:paraId="638DC2D0" w14:textId="4D8C1B35" w:rsidR="00DA0A78" w:rsidRDefault="00DA0A78" w:rsidP="00DA0A78">
      <w:pPr>
        <w:pStyle w:val="a9"/>
        <w:numPr>
          <w:ilvl w:val="0"/>
          <w:numId w:val="8"/>
        </w:numPr>
      </w:pPr>
      <w:r>
        <w:t>Article by Yoav Lin</w:t>
      </w:r>
    </w:p>
    <w:p w14:paraId="0250FE22" w14:textId="5B8A20A9" w:rsidR="00DA0A78" w:rsidRDefault="00DA0A78" w:rsidP="00DA0A78">
      <w:pPr>
        <w:pStyle w:val="a9"/>
        <w:numPr>
          <w:ilvl w:val="0"/>
          <w:numId w:val="8"/>
        </w:numPr>
      </w:pPr>
      <w:r>
        <w:t>Video by Yoav Lin</w:t>
      </w:r>
    </w:p>
    <w:p w14:paraId="6B882C3B" w14:textId="77777777" w:rsidR="00D022C9" w:rsidRDefault="00D022C9" w:rsidP="00D022C9">
      <w:pPr>
        <w:pStyle w:val="a9"/>
      </w:pPr>
    </w:p>
    <w:p w14:paraId="724DBACF" w14:textId="77777777" w:rsidR="00D022C9" w:rsidRDefault="00D022C9" w:rsidP="00D022C9">
      <w:pPr>
        <w:spacing w:before="0"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rtl/>
        </w:rPr>
        <w:t>קרן קימת לישראל</w:t>
      </w:r>
    </w:p>
    <w:p w14:paraId="2B049CF3" w14:textId="77777777" w:rsidR="00D022C9" w:rsidRDefault="00D022C9" w:rsidP="00D022C9">
      <w:pPr>
        <w:spacing w:before="0"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Keren Kayemeth LeIsrael-</w:t>
      </w:r>
      <w:bookmarkStart w:id="0" w:name="_Hlk87875188"/>
      <w:r>
        <w:rPr>
          <w:rFonts w:ascii="Arial" w:hAnsi="Arial" w:cs="Arial"/>
          <w:color w:val="000000"/>
          <w:sz w:val="16"/>
          <w:szCs w:val="16"/>
        </w:rPr>
        <w:t>Jewish National Fund</w:t>
      </w:r>
    </w:p>
    <w:bookmarkEnd w:id="0"/>
    <w:p w14:paraId="6B05D298" w14:textId="77777777" w:rsidR="00D022C9" w:rsidRDefault="00D022C9" w:rsidP="00D022C9">
      <w:pPr>
        <w:spacing w:before="0"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Resource Development and External Affairs Division</w:t>
      </w:r>
    </w:p>
    <w:p w14:paraId="596CF386" w14:textId="77777777" w:rsidR="00D022C9" w:rsidRPr="00D022C9" w:rsidRDefault="00D022C9" w:rsidP="00D022C9">
      <w:pPr>
        <w:spacing w:before="0"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Marketing Department</w:t>
      </w:r>
    </w:p>
    <w:sectPr w:rsidR="00D022C9" w:rsidRPr="00D022C9" w:rsidSect="00D022C9">
      <w:headerReference w:type="default" r:id="rId7"/>
      <w:pgSz w:w="11906" w:h="16838"/>
      <w:pgMar w:top="2694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86E8" w14:textId="77777777" w:rsidR="00545911" w:rsidRDefault="00545911" w:rsidP="00D022C9">
      <w:pPr>
        <w:spacing w:before="0" w:after="0" w:line="240" w:lineRule="auto"/>
      </w:pPr>
      <w:r>
        <w:separator/>
      </w:r>
    </w:p>
  </w:endnote>
  <w:endnote w:type="continuationSeparator" w:id="0">
    <w:p w14:paraId="790A078D" w14:textId="77777777" w:rsidR="00545911" w:rsidRDefault="00545911" w:rsidP="00D022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3E79" w14:textId="77777777" w:rsidR="00545911" w:rsidRDefault="00545911" w:rsidP="00D022C9">
      <w:pPr>
        <w:spacing w:before="0" w:after="0" w:line="240" w:lineRule="auto"/>
      </w:pPr>
      <w:r>
        <w:separator/>
      </w:r>
    </w:p>
  </w:footnote>
  <w:footnote w:type="continuationSeparator" w:id="0">
    <w:p w14:paraId="093BD504" w14:textId="77777777" w:rsidR="00545911" w:rsidRDefault="00545911" w:rsidP="00D022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996F" w14:textId="3848CA3A" w:rsidR="00D022C9" w:rsidRPr="00D022C9" w:rsidRDefault="00D022C9" w:rsidP="00D022C9">
    <w:pPr>
      <w:pStyle w:val="af"/>
      <w:jc w:val="center"/>
    </w:pPr>
    <w:r w:rsidRPr="00DA6EF3">
      <w:rPr>
        <w:rFonts w:ascii="Calibri" w:eastAsia="Calibri" w:hAnsi="Calibri" w:cs="Arial"/>
        <w:noProof/>
      </w:rPr>
      <w:drawing>
        <wp:inline distT="0" distB="0" distL="0" distR="0" wp14:anchorId="5B82D348" wp14:editId="44F0648C">
          <wp:extent cx="723900" cy="924006"/>
          <wp:effectExtent l="0" t="0" r="0" b="9525"/>
          <wp:docPr id="185429462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87" cy="93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A4E"/>
    <w:multiLevelType w:val="hybridMultilevel"/>
    <w:tmpl w:val="663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44C0"/>
    <w:multiLevelType w:val="hybridMultilevel"/>
    <w:tmpl w:val="95928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7DD4"/>
    <w:multiLevelType w:val="hybridMultilevel"/>
    <w:tmpl w:val="EC4A8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C507F"/>
    <w:multiLevelType w:val="hybridMultilevel"/>
    <w:tmpl w:val="E1C4B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B4DCD"/>
    <w:multiLevelType w:val="hybridMultilevel"/>
    <w:tmpl w:val="09F67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71F76"/>
    <w:multiLevelType w:val="hybridMultilevel"/>
    <w:tmpl w:val="6B9A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437E3"/>
    <w:multiLevelType w:val="hybridMultilevel"/>
    <w:tmpl w:val="6648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82600"/>
    <w:multiLevelType w:val="hybridMultilevel"/>
    <w:tmpl w:val="60B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2900">
    <w:abstractNumId w:val="5"/>
  </w:num>
  <w:num w:numId="2" w16cid:durableId="610476655">
    <w:abstractNumId w:val="2"/>
  </w:num>
  <w:num w:numId="3" w16cid:durableId="258877983">
    <w:abstractNumId w:val="1"/>
  </w:num>
  <w:num w:numId="4" w16cid:durableId="1097943616">
    <w:abstractNumId w:val="3"/>
  </w:num>
  <w:num w:numId="5" w16cid:durableId="1863861145">
    <w:abstractNumId w:val="7"/>
  </w:num>
  <w:num w:numId="6" w16cid:durableId="1125270337">
    <w:abstractNumId w:val="4"/>
  </w:num>
  <w:num w:numId="7" w16cid:durableId="1838957508">
    <w:abstractNumId w:val="6"/>
  </w:num>
  <w:num w:numId="8" w16cid:durableId="188713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F3"/>
    <w:rsid w:val="00115A5A"/>
    <w:rsid w:val="002914BE"/>
    <w:rsid w:val="003D1178"/>
    <w:rsid w:val="00545911"/>
    <w:rsid w:val="006F18AF"/>
    <w:rsid w:val="00704657"/>
    <w:rsid w:val="00716043"/>
    <w:rsid w:val="00746E1D"/>
    <w:rsid w:val="007A4A1E"/>
    <w:rsid w:val="00803CAB"/>
    <w:rsid w:val="00852058"/>
    <w:rsid w:val="008A161C"/>
    <w:rsid w:val="008C5E51"/>
    <w:rsid w:val="00914B05"/>
    <w:rsid w:val="0093039B"/>
    <w:rsid w:val="00961235"/>
    <w:rsid w:val="00A524CB"/>
    <w:rsid w:val="00B3612D"/>
    <w:rsid w:val="00B761DA"/>
    <w:rsid w:val="00C23617"/>
    <w:rsid w:val="00CE469D"/>
    <w:rsid w:val="00CF1891"/>
    <w:rsid w:val="00D022C9"/>
    <w:rsid w:val="00D27C0E"/>
    <w:rsid w:val="00DA0A78"/>
    <w:rsid w:val="00DA240C"/>
    <w:rsid w:val="00DA6EF3"/>
    <w:rsid w:val="00DB5C6C"/>
    <w:rsid w:val="00E062B0"/>
    <w:rsid w:val="00EF2FF5"/>
    <w:rsid w:val="00F46A45"/>
    <w:rsid w:val="00FA70EA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4FE5"/>
  <w15:chartTrackingRefBased/>
  <w15:docId w15:val="{73E376A7-B60C-4D39-9BC2-82BD249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before="12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EF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EF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A6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A6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A6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A6E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A6E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A6E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A6E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A6E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A6E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EF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A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A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A6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E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A6E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6EF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F189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022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D022C9"/>
  </w:style>
  <w:style w:type="paragraph" w:styleId="af1">
    <w:name w:val="footer"/>
    <w:basedOn w:val="a"/>
    <w:link w:val="af2"/>
    <w:uiPriority w:val="99"/>
    <w:unhideWhenUsed/>
    <w:rsid w:val="00D022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D0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4</Pages>
  <Words>689</Words>
  <Characters>3915</Characters>
  <Application>Microsoft Office Word</Application>
  <DocSecurity>0</DocSecurity>
  <Lines>188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נוטוביץ</dc:creator>
  <cp:keywords/>
  <dc:description/>
  <cp:lastModifiedBy>ליאור אזולאי</cp:lastModifiedBy>
  <cp:revision>5</cp:revision>
  <dcterms:created xsi:type="dcterms:W3CDTF">2025-09-29T13:36:00Z</dcterms:created>
  <dcterms:modified xsi:type="dcterms:W3CDTF">2025-10-15T13:21:00Z</dcterms:modified>
</cp:coreProperties>
</file>